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79" w:rsidRDefault="00D867AC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4C23B7">
        <w:rPr>
          <w:rFonts w:ascii="Times New Roman" w:hAnsi="Times New Roman" w:cs="Times New Roman"/>
          <w:color w:val="00000A"/>
          <w:sz w:val="28"/>
          <w:szCs w:val="28"/>
        </w:rPr>
        <w:t xml:space="preserve">Учет </w:t>
      </w:r>
      <w:proofErr w:type="gramStart"/>
      <w:r w:rsidRPr="004C23B7">
        <w:rPr>
          <w:rFonts w:ascii="Times New Roman" w:hAnsi="Times New Roman" w:cs="Times New Roman"/>
          <w:color w:val="00000A"/>
          <w:sz w:val="28"/>
          <w:szCs w:val="28"/>
        </w:rPr>
        <w:t>особых образовательных потребностей</w:t>
      </w:r>
      <w:proofErr w:type="gramEnd"/>
      <w:r w:rsidRPr="004C23B7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с ум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с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т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вен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ной от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 xml:space="preserve">сталостью </w:t>
      </w:r>
      <w:r w:rsidRPr="004C23B7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t>обусловливает необходимость ис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поль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зо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>ва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softHyphen/>
        <w:t xml:space="preserve">ния 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t>спе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ци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аль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ных уче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б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ни</w:t>
      </w:r>
      <w:r w:rsidRPr="004C23B7">
        <w:rPr>
          <w:rFonts w:ascii="Times New Roman" w:hAnsi="Times New Roman" w:cs="Times New Roman"/>
          <w:i/>
          <w:color w:val="00000A"/>
          <w:sz w:val="28"/>
          <w:szCs w:val="28"/>
        </w:rPr>
        <w:softHyphen/>
        <w:t>ков</w:t>
      </w:r>
      <w:r w:rsidRPr="004C23B7">
        <w:rPr>
          <w:rFonts w:ascii="Times New Roman" w:hAnsi="Times New Roman" w:cs="Times New Roman"/>
          <w:color w:val="00000A"/>
          <w:sz w:val="28"/>
          <w:szCs w:val="28"/>
        </w:rPr>
        <w:t>, адресованных данной категории обучающихся.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984"/>
        <w:gridCol w:w="5954"/>
      </w:tblGrid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Класс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Кол-во обучающихся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Учебник, год издания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Русский язык.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592">
              <w:rPr>
                <w:rFonts w:ascii="Times New Roman" w:hAnsi="Times New Roman"/>
              </w:rPr>
              <w:t>Э.В.Якубовская</w:t>
            </w:r>
            <w:proofErr w:type="spellEnd"/>
            <w:r w:rsidRPr="00E62592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E62592">
              <w:rPr>
                <w:rFonts w:ascii="Times New Roman" w:hAnsi="Times New Roman"/>
              </w:rPr>
              <w:t>Я.В.Коршунова</w:t>
            </w:r>
            <w:proofErr w:type="spellEnd"/>
            <w:r w:rsidRPr="00E62592">
              <w:rPr>
                <w:rFonts w:ascii="Times New Roman" w:hAnsi="Times New Roman"/>
              </w:rPr>
              <w:t xml:space="preserve"> .</w:t>
            </w:r>
            <w:proofErr w:type="gramEnd"/>
            <w:r w:rsidRPr="00E62592">
              <w:rPr>
                <w:rFonts w:ascii="Times New Roman" w:hAnsi="Times New Roman"/>
              </w:rPr>
              <w:t xml:space="preserve"> – М: Просвещение, 2018.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Математика (в 2-х частях)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592">
              <w:rPr>
                <w:rFonts w:ascii="Times New Roman" w:hAnsi="Times New Roman"/>
              </w:rPr>
              <w:t>Т.В.Алышева</w:t>
            </w:r>
            <w:proofErr w:type="spellEnd"/>
            <w:r w:rsidRPr="00E62592">
              <w:rPr>
                <w:rFonts w:ascii="Times New Roman" w:hAnsi="Times New Roman"/>
              </w:rPr>
              <w:t>. - М: Просвещение, 2018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  <w:kern w:val="36"/>
                <w:lang w:eastAsia="ru-RU"/>
              </w:rPr>
              <w:t>Мир природы и человека.  (в 2-х частях)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  <w:lang w:eastAsia="ru-RU"/>
              </w:rPr>
              <w:t xml:space="preserve">Матвеева Н.Б., </w:t>
            </w:r>
            <w:proofErr w:type="spellStart"/>
            <w:r w:rsidRPr="00E62592">
              <w:rPr>
                <w:rFonts w:ascii="Times New Roman" w:hAnsi="Times New Roman"/>
                <w:lang w:eastAsia="ru-RU"/>
              </w:rPr>
              <w:t>Ярочкина</w:t>
            </w:r>
            <w:proofErr w:type="spellEnd"/>
            <w:r w:rsidRPr="00E62592">
              <w:rPr>
                <w:rFonts w:ascii="Times New Roman" w:hAnsi="Times New Roman"/>
                <w:lang w:eastAsia="ru-RU"/>
              </w:rPr>
              <w:t xml:space="preserve"> И.А., Попова М.А., </w:t>
            </w:r>
            <w:proofErr w:type="spellStart"/>
            <w:r w:rsidRPr="00E62592">
              <w:rPr>
                <w:rFonts w:ascii="Times New Roman" w:hAnsi="Times New Roman"/>
                <w:lang w:eastAsia="ru-RU"/>
              </w:rPr>
              <w:t>Куртова</w:t>
            </w:r>
            <w:proofErr w:type="spellEnd"/>
            <w:r w:rsidRPr="00E62592">
              <w:rPr>
                <w:rFonts w:ascii="Times New Roman" w:hAnsi="Times New Roman"/>
                <w:lang w:eastAsia="ru-RU"/>
              </w:rPr>
              <w:t xml:space="preserve"> Т.О</w:t>
            </w:r>
            <w:r w:rsidRPr="00E62592">
              <w:rPr>
                <w:rFonts w:ascii="Times New Roman" w:hAnsi="Times New Roman"/>
                <w:color w:val="333333"/>
                <w:lang w:eastAsia="ru-RU"/>
              </w:rPr>
              <w:t>.</w:t>
            </w:r>
            <w:r w:rsidRPr="00E62592">
              <w:rPr>
                <w:rFonts w:ascii="Times New Roman" w:hAnsi="Times New Roman"/>
              </w:rPr>
              <w:t xml:space="preserve"> - М: Просвещение, 2018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 xml:space="preserve">Чтение </w:t>
            </w:r>
            <w:r w:rsidRPr="00E62592">
              <w:rPr>
                <w:rFonts w:ascii="Times New Roman" w:hAnsi="Times New Roman"/>
                <w:kern w:val="36"/>
                <w:lang w:eastAsia="ru-RU"/>
              </w:rPr>
              <w:t>(в 2-х частях)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Ильина С. Ю., Богданова А.А. и др. – М: Просвещение, 2018.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592">
              <w:rPr>
                <w:rFonts w:ascii="Times New Roman" w:hAnsi="Times New Roman"/>
              </w:rPr>
              <w:t>С.В.Комарова</w:t>
            </w:r>
            <w:proofErr w:type="spellEnd"/>
            <w:r w:rsidRPr="00E62592">
              <w:rPr>
                <w:rFonts w:ascii="Times New Roman" w:hAnsi="Times New Roman"/>
              </w:rPr>
              <w:t>. – М: Просвещение, 2018.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 xml:space="preserve">Технология.  Ручной труд 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592">
              <w:rPr>
                <w:rFonts w:ascii="Times New Roman" w:hAnsi="Times New Roman"/>
              </w:rPr>
              <w:t>Л.А.Кузнецова</w:t>
            </w:r>
            <w:proofErr w:type="spellEnd"/>
            <w:r w:rsidRPr="00E62592">
              <w:rPr>
                <w:rFonts w:ascii="Times New Roman" w:hAnsi="Times New Roman"/>
              </w:rPr>
              <w:t xml:space="preserve"> – М: Просвещение, 2018.</w:t>
            </w:r>
          </w:p>
        </w:tc>
      </w:tr>
      <w:tr w:rsidR="00D867AC" w:rsidRPr="00E62592" w:rsidTr="0062176A">
        <w:tc>
          <w:tcPr>
            <w:tcW w:w="817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6259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954" w:type="dxa"/>
          </w:tcPr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2592">
              <w:rPr>
                <w:rFonts w:ascii="Times New Roman" w:hAnsi="Times New Roman"/>
              </w:rPr>
              <w:t>Рау</w:t>
            </w:r>
            <w:proofErr w:type="spellEnd"/>
            <w:r w:rsidRPr="00E62592">
              <w:rPr>
                <w:rFonts w:ascii="Times New Roman" w:hAnsi="Times New Roman"/>
              </w:rPr>
              <w:t xml:space="preserve"> М. Ю., Зыкова М. А. – М: Просвещение, 2018</w:t>
            </w:r>
          </w:p>
          <w:p w:rsidR="00D867AC" w:rsidRPr="00E62592" w:rsidRDefault="00D867AC" w:rsidP="0062176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867AC" w:rsidRDefault="00D867AC"/>
    <w:sectPr w:rsidR="00D8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82"/>
    <w:rsid w:val="009C0882"/>
    <w:rsid w:val="00CA6979"/>
    <w:rsid w:val="00D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91F"/>
  <w15:chartTrackingRefBased/>
  <w15:docId w15:val="{62CF068F-07F0-4000-B8BA-4A8B216C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A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D867A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2020-07-30T12:11:00Z</dcterms:created>
  <dcterms:modified xsi:type="dcterms:W3CDTF">2020-07-30T12:14:00Z</dcterms:modified>
</cp:coreProperties>
</file>