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02000000">
      <w:pPr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приказу управления образования </w:t>
      </w:r>
    </w:p>
    <w:p w14:paraId="03000000">
      <w:pPr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 xml:space="preserve">02.02.2021 </w:t>
      </w:r>
      <w:bookmarkStart w:id="1" w:name="_GoBack"/>
      <w:bookmarkEnd w:id="1"/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27-ОД</w:t>
      </w:r>
    </w:p>
    <w:p w14:paraId="04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05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</w:t>
      </w:r>
    </w:p>
    <w:p w14:paraId="06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нематериальном стимулировании работников</w:t>
      </w:r>
      <w:r>
        <w:rPr>
          <w:rFonts w:ascii="Times New Roman" w:hAnsi="Times New Roman"/>
          <w:sz w:val="28"/>
        </w:rPr>
        <w:t xml:space="preserve"> общеобразовательных организаций</w:t>
      </w:r>
    </w:p>
    <w:p w14:paraId="07000000">
      <w:pPr>
        <w:ind/>
        <w:jc w:val="both"/>
        <w:rPr>
          <w:rFonts w:ascii="Times New Roman" w:hAnsi="Times New Roman"/>
          <w:sz w:val="28"/>
        </w:rPr>
      </w:pPr>
    </w:p>
    <w:p w14:paraId="0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1. Общие положения</w:t>
      </w:r>
    </w:p>
    <w:p w14:paraId="0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Настоящее Положение  разработано в соответствии с  Трудовым кодексом Российской Федерации,  Законом «Об образовании в Российской Федерации» от 29.12.2012 г. №273-ФЗ, регламентирует порядок и условия нематериального  стимулирования</w:t>
      </w:r>
      <w:r>
        <w:rPr>
          <w:rFonts w:ascii="Times New Roman" w:hAnsi="Times New Roman"/>
          <w:sz w:val="28"/>
        </w:rPr>
        <w:t xml:space="preserve"> педагогических работников</w:t>
      </w:r>
      <w:r>
        <w:rPr>
          <w:rFonts w:ascii="Times New Roman" w:hAnsi="Times New Roman"/>
          <w:sz w:val="28"/>
        </w:rPr>
        <w:t>, включая показатели результативности, эффективности и продуктивности труда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0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</w:t>
      </w:r>
      <w:r>
        <w:rPr>
          <w:rFonts w:ascii="Times New Roman" w:hAnsi="Times New Roman"/>
          <w:sz w:val="28"/>
        </w:rPr>
        <w:t>.Положение о нематериальном стимулировании закрепляет правила нематериального стимулирования</w:t>
      </w:r>
      <w:r>
        <w:rPr>
          <w:rFonts w:ascii="Times New Roman" w:hAnsi="Times New Roman"/>
          <w:sz w:val="28"/>
        </w:rPr>
        <w:t xml:space="preserve"> педагогических работников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 порядок формирования нематериальных стимулов.</w:t>
      </w:r>
    </w:p>
    <w:p w14:paraId="0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</w:t>
      </w:r>
      <w:r>
        <w:rPr>
          <w:rFonts w:ascii="Times New Roman" w:hAnsi="Times New Roman"/>
          <w:sz w:val="28"/>
        </w:rPr>
        <w:t xml:space="preserve">.Положение утверждает руководитель </w:t>
      </w:r>
      <w:r>
        <w:rPr>
          <w:rFonts w:ascii="Times New Roman" w:hAnsi="Times New Roman"/>
          <w:sz w:val="28"/>
        </w:rPr>
        <w:t xml:space="preserve">общеобразовательной </w:t>
      </w:r>
      <w:r>
        <w:rPr>
          <w:rFonts w:ascii="Times New Roman" w:hAnsi="Times New Roman"/>
          <w:sz w:val="28"/>
        </w:rPr>
        <w:t xml:space="preserve">организации и вводит в действие </w:t>
      </w:r>
      <w:r>
        <w:rPr>
          <w:rFonts w:ascii="Times New Roman" w:hAnsi="Times New Roman"/>
          <w:sz w:val="28"/>
        </w:rPr>
        <w:t xml:space="preserve"> своим </w:t>
      </w:r>
      <w:r>
        <w:rPr>
          <w:rFonts w:ascii="Times New Roman" w:hAnsi="Times New Roman"/>
          <w:sz w:val="28"/>
        </w:rPr>
        <w:t>приказом.</w:t>
      </w:r>
    </w:p>
    <w:p w14:paraId="0C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Настоящее положение описывает принципы и правила распределения нематериального вознаграждения и порядок формирования компенсационного пакета в части, состоящей из нематериальных стимулов, для</w:t>
      </w:r>
      <w:r>
        <w:rPr>
          <w:rFonts w:ascii="Times New Roman" w:hAnsi="Times New Roman"/>
          <w:sz w:val="28"/>
        </w:rPr>
        <w:t xml:space="preserve"> педагогических работников</w:t>
      </w:r>
      <w:r>
        <w:rPr>
          <w:rFonts w:ascii="Times New Roman" w:hAnsi="Times New Roman"/>
          <w:sz w:val="28"/>
        </w:rPr>
        <w:t xml:space="preserve">  общеобразовательных организаций  района</w:t>
      </w:r>
      <w:r>
        <w:rPr>
          <w:rFonts w:ascii="Times New Roman" w:hAnsi="Times New Roman"/>
          <w:sz w:val="28"/>
        </w:rPr>
        <w:t>.</w:t>
      </w:r>
    </w:p>
    <w:p w14:paraId="0D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Нематериальное  стимулирование осуществляется в целях усиления заинтересованности</w:t>
      </w:r>
      <w:r>
        <w:t xml:space="preserve"> </w:t>
      </w:r>
      <w:r>
        <w:rPr>
          <w:rFonts w:ascii="Times New Roman" w:hAnsi="Times New Roman"/>
          <w:sz w:val="28"/>
        </w:rPr>
        <w:t>педагогических работников</w:t>
      </w:r>
      <w:r>
        <w:rPr>
          <w:rFonts w:ascii="Times New Roman" w:hAnsi="Times New Roman"/>
          <w:sz w:val="28"/>
        </w:rPr>
        <w:t>, в том числе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классных руководителей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развитии творческой активности и инициативы, повышения качества </w:t>
      </w:r>
      <w:r>
        <w:rPr>
          <w:rFonts w:ascii="Times New Roman" w:hAnsi="Times New Roman"/>
          <w:sz w:val="28"/>
        </w:rPr>
        <w:t xml:space="preserve"> воспит</w:t>
      </w:r>
      <w:r>
        <w:rPr>
          <w:rFonts w:ascii="Times New Roman" w:hAnsi="Times New Roman"/>
          <w:sz w:val="28"/>
        </w:rPr>
        <w:t>ательного процесса, а так</w:t>
      </w:r>
      <w:r>
        <w:rPr>
          <w:rFonts w:ascii="Times New Roman" w:hAnsi="Times New Roman"/>
          <w:sz w:val="28"/>
        </w:rPr>
        <w:t xml:space="preserve">же закрепление в </w:t>
      </w:r>
      <w:r>
        <w:rPr>
          <w:rFonts w:ascii="Times New Roman" w:hAnsi="Times New Roman"/>
          <w:sz w:val="28"/>
        </w:rPr>
        <w:t>общеобразовательной</w:t>
      </w:r>
      <w:r>
        <w:rPr>
          <w:rFonts w:ascii="Times New Roman" w:hAnsi="Times New Roman"/>
          <w:sz w:val="28"/>
        </w:rPr>
        <w:t xml:space="preserve"> организации</w:t>
      </w:r>
      <w:r>
        <w:rPr>
          <w:rFonts w:ascii="Times New Roman" w:hAnsi="Times New Roman"/>
          <w:sz w:val="28"/>
        </w:rPr>
        <w:t xml:space="preserve"> высококвалифицированных кадров.</w:t>
      </w:r>
    </w:p>
    <w:p w14:paraId="0E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</w:t>
      </w:r>
      <w:r>
        <w:rPr>
          <w:rFonts w:ascii="Times New Roman" w:hAnsi="Times New Roman"/>
          <w:sz w:val="28"/>
        </w:rPr>
        <w:t>. Нематериальное стимулирование может применяться как совместно с денежным стимулированием, так и отдельно в качестве самостоятельной формы стимулирования.</w:t>
      </w:r>
    </w:p>
    <w:p w14:paraId="0F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Принципы поощрения</w:t>
      </w:r>
    </w:p>
    <w:p w14:paraId="10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7.</w:t>
      </w:r>
      <w:r>
        <w:rPr>
          <w:rFonts w:ascii="Times New Roman" w:hAnsi="Times New Roman"/>
          <w:sz w:val="28"/>
        </w:rPr>
        <w:t xml:space="preserve"> Поощрение работников основано на принципах:</w:t>
      </w:r>
    </w:p>
    <w:p w14:paraId="1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законности;</w:t>
      </w:r>
    </w:p>
    <w:p w14:paraId="12000000">
      <w:pPr>
        <w:ind/>
        <w:jc w:val="both"/>
        <w:rPr>
          <w:rFonts w:ascii="Times New Roman" w:hAnsi="Times New Roman"/>
          <w:sz w:val="28"/>
        </w:rPr>
      </w:pPr>
    </w:p>
    <w:p w14:paraId="13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гласности;</w:t>
      </w:r>
    </w:p>
    <w:p w14:paraId="14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поощрение исключительно (приоритетности личных заслуг и достижений) за особые личные заслуги и достижения;</w:t>
      </w:r>
    </w:p>
    <w:p w14:paraId="15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стимулирование эффективности и качества работы.</w:t>
      </w:r>
    </w:p>
    <w:p w14:paraId="1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1.8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Задачи</w:t>
      </w:r>
      <w:r>
        <w:rPr>
          <w:rFonts w:ascii="Times New Roman" w:hAnsi="Times New Roman"/>
          <w:sz w:val="28"/>
        </w:rPr>
        <w:t>:</w:t>
      </w:r>
    </w:p>
    <w:p w14:paraId="1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качественное выполнение функциональных обязанностей;</w:t>
      </w:r>
    </w:p>
    <w:p w14:paraId="1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-проявление творческой инициативы, самостоятельности, ответственного отношения к долгу;</w:t>
      </w:r>
    </w:p>
    <w:p w14:paraId="1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-а</w:t>
      </w:r>
      <w:r>
        <w:rPr>
          <w:rFonts w:ascii="Times New Roman" w:hAnsi="Times New Roman"/>
          <w:sz w:val="28"/>
        </w:rPr>
        <w:t>ктивное участие в мероприятиях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проводимых на муниципальном и школьном уровнях;</w:t>
      </w:r>
    </w:p>
    <w:p w14:paraId="1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-совершенствование форм и методов воспитания.</w:t>
      </w:r>
    </w:p>
    <w:p w14:paraId="1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Механизмы нематериального стимулирования педагогических работников по следующим направлениям:</w:t>
      </w:r>
    </w:p>
    <w:p w14:paraId="1C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Организационное стимулирование</w:t>
      </w:r>
      <w:r>
        <w:rPr>
          <w:rFonts w:ascii="Times New Roman" w:hAnsi="Times New Roman"/>
          <w:sz w:val="28"/>
        </w:rPr>
        <w:t>, направленное на создание благоприятных условий деятельности для осуществления классного руководства, включая:</w:t>
      </w:r>
    </w:p>
    <w:p w14:paraId="1D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создание эффективных механизмов взаимодействия всех субъектов воспитательной деятельности между собой и с администрацией общеобразовательной организации;</w:t>
      </w:r>
    </w:p>
    <w:p w14:paraId="1E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создание системы наставничества и организацию методического объединения педагогических работников, осуществляющих классное руководство, наставничество;</w:t>
      </w:r>
    </w:p>
    <w:p w14:paraId="1F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организацию рабочих мест для педагогических работников с учетом дополнительных задач</w:t>
      </w:r>
      <w:r>
        <w:rPr>
          <w:rFonts w:ascii="Times New Roman" w:hAnsi="Times New Roman"/>
          <w:sz w:val="28"/>
        </w:rPr>
        <w:t xml:space="preserve"> не связанных с основной деятельностью</w:t>
      </w:r>
      <w:r>
        <w:rPr>
          <w:rFonts w:ascii="Times New Roman" w:hAnsi="Times New Roman"/>
          <w:sz w:val="28"/>
        </w:rPr>
        <w:t>.</w:t>
      </w:r>
    </w:p>
    <w:p w14:paraId="20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Социальное стимулирование</w:t>
      </w:r>
      <w:r>
        <w:rPr>
          <w:rFonts w:ascii="Times New Roman" w:hAnsi="Times New Roman"/>
          <w:sz w:val="28"/>
        </w:rPr>
        <w:t xml:space="preserve">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роста,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зменение статуса, должности сотрудника </w:t>
      </w:r>
      <w:r>
        <w:rPr>
          <w:rFonts w:ascii="Times New Roman" w:hAnsi="Times New Roman"/>
          <w:sz w:val="28"/>
        </w:rPr>
        <w:t>включая:</w:t>
      </w:r>
    </w:p>
    <w:p w14:paraId="2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</w:t>
      </w:r>
      <w:r>
        <w:rPr>
          <w:rFonts w:ascii="Times New Roman" w:hAnsi="Times New Roman"/>
          <w:sz w:val="28"/>
        </w:rPr>
        <w:t xml:space="preserve"> и другие должности</w:t>
      </w:r>
      <w:r>
        <w:t xml:space="preserve"> </w:t>
      </w:r>
      <w:r>
        <w:rPr>
          <w:rFonts w:ascii="Times New Roman" w:hAnsi="Times New Roman"/>
          <w:sz w:val="28"/>
        </w:rPr>
        <w:t>сотрудника</w:t>
      </w:r>
      <w:r>
        <w:rPr>
          <w:rFonts w:ascii="Times New Roman" w:hAnsi="Times New Roman"/>
          <w:sz w:val="28"/>
        </w:rPr>
        <w:t>;</w:t>
      </w:r>
    </w:p>
    <w:p w14:paraId="22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предоставление возможности участия в конкурсах профессионального мастерства с целью развития личностной и профессиональной самореализации;</w:t>
      </w:r>
    </w:p>
    <w:p w14:paraId="23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предоставление возможности повышения квалификации, участия в стажировках, </w:t>
      </w:r>
      <w:r>
        <w:rPr>
          <w:rFonts w:ascii="Times New Roman" w:hAnsi="Times New Roman"/>
          <w:sz w:val="28"/>
        </w:rPr>
        <w:t>вебинарах</w:t>
      </w:r>
      <w:r>
        <w:rPr>
          <w:rFonts w:ascii="Times New Roman" w:hAnsi="Times New Roman"/>
          <w:sz w:val="28"/>
        </w:rPr>
        <w:t>, семинарах и других мероприятиях образовательного характера.</w:t>
      </w:r>
    </w:p>
    <w:p w14:paraId="24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Психологическое стимулирование</w:t>
      </w:r>
      <w:r>
        <w:rPr>
          <w:rFonts w:ascii="Times New Roman" w:hAnsi="Times New Roman"/>
          <w:sz w:val="28"/>
        </w:rPr>
        <w:t>, предполагающее использование разных механизмов создания благоприятного психологического климата в педагогическом коллективе, в том числе с учётом интересов всех педагогических работников, осуществляющих классное руководство, включая:</w:t>
      </w:r>
    </w:p>
    <w:p w14:paraId="25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создание механизмов разрешения и предотвращения конфликтных ситуаций между участниками образовательных отношений в общеобразовательной организации;</w:t>
      </w:r>
    </w:p>
    <w:p w14:paraId="2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организация консультаций и создание условий для психологической разгрузки и восстановления в общеобразовательной организации или вне ее, для профилактики профессионального выгорания в связи с осуществлением педагогическими работниками классного руководства.</w:t>
      </w:r>
    </w:p>
    <w:p w14:paraId="2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i w:val="1"/>
          <w:sz w:val="28"/>
        </w:rPr>
        <w:t>Моральное стимулирование</w:t>
      </w:r>
      <w:r>
        <w:rPr>
          <w:rFonts w:ascii="Times New Roman" w:hAnsi="Times New Roman"/>
          <w:sz w:val="28"/>
        </w:rPr>
        <w:t xml:space="preserve"> педагогических работников, обеспечивающее удовлетворение потребности в уважении со стороны коллектива, администрации общеобразовательной организации, родителей (законных представителей) несовершеннолетних обучающихся и социума с использованием всех форм поощрения деятельности по классному руководству, включая:</w:t>
      </w:r>
    </w:p>
    <w:p w14:paraId="2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публичное признание результатов труда педагогических работников, осуществляющих классное руководство, в виде благодарности с занесением в трудовую книжку, награждения почетными грамотами и благодарственными письмами различного уровня, выдачи статусных знаков отличия, размещения их фотопортретов с аннотациями на доске почёта;</w:t>
      </w:r>
    </w:p>
    <w:p w14:paraId="2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размещения информации об успехах социально-значимой деятельности педагогических работников, в СМИ и на официальных сайтах </w:t>
      </w:r>
      <w:r>
        <w:rPr>
          <w:rFonts w:ascii="Times New Roman" w:hAnsi="Times New Roman"/>
          <w:sz w:val="28"/>
        </w:rPr>
        <w:t>общеобразовательной организации и учредителя общеобразовательной организации;</w:t>
      </w:r>
    </w:p>
    <w:p w14:paraId="2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информирование родительской общественности о достижениях, связанных с осуществлением </w:t>
      </w:r>
      <w:r>
        <w:rPr>
          <w:rFonts w:ascii="Times New Roman" w:hAnsi="Times New Roman"/>
          <w:sz w:val="28"/>
        </w:rPr>
        <w:t xml:space="preserve">деятельности </w:t>
      </w:r>
      <w:r>
        <w:rPr>
          <w:rFonts w:ascii="Times New Roman" w:hAnsi="Times New Roman"/>
          <w:sz w:val="28"/>
        </w:rPr>
        <w:t>педагогическими работниками;</w:t>
      </w:r>
    </w:p>
    <w:p w14:paraId="2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организация исполнительными органами государственной власти и органами местного самоуправления конкурсов для выявления лучших педагогических работников, осуществляющих классное руководство, с дальнейшим установлением баннеров с фотографиями победителей на улицах населенных пунктов сельских районов и городских округов, районных и областных центров</w:t>
      </w:r>
    </w:p>
    <w:p w14:paraId="2C000000">
      <w:pPr>
        <w:tabs>
          <w:tab w:leader="none" w:pos="180" w:val="left"/>
          <w:tab w:leader="none" w:pos="540" w:val="left"/>
        </w:tabs>
        <w:spacing w:after="0" w:line="240" w:lineRule="auto"/>
        <w:ind w:firstLine="0" w:left="180"/>
        <w:rPr>
          <w:rFonts w:ascii="Times New Roman" w:hAnsi="Times New Roman"/>
          <w:b w:val="1"/>
          <w:sz w:val="28"/>
        </w:rPr>
      </w:pPr>
    </w:p>
    <w:p w14:paraId="2D000000">
      <w:pPr>
        <w:tabs>
          <w:tab w:leader="none" w:pos="180" w:val="left"/>
          <w:tab w:leader="none" w:pos="540" w:val="left"/>
        </w:tabs>
        <w:spacing w:after="0" w:line="240" w:lineRule="auto"/>
        <w:ind w:firstLine="0" w:left="18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b w:val="1"/>
          <w:i w:val="1"/>
          <w:sz w:val="28"/>
        </w:rPr>
        <w:t xml:space="preserve">Показатели </w:t>
      </w:r>
      <w:r>
        <w:rPr>
          <w:rFonts w:ascii="Times New Roman" w:hAnsi="Times New Roman"/>
          <w:b w:val="1"/>
          <w:sz w:val="28"/>
        </w:rPr>
        <w:t xml:space="preserve">нематериального поощрения </w:t>
      </w:r>
    </w:p>
    <w:p w14:paraId="2E000000">
      <w:pPr>
        <w:tabs>
          <w:tab w:leader="none" w:pos="180" w:val="left"/>
          <w:tab w:leader="none" w:pos="540" w:val="left"/>
        </w:tabs>
        <w:spacing w:after="0" w:line="240" w:lineRule="auto"/>
        <w:ind w:firstLine="0" w:left="180"/>
        <w:jc w:val="center"/>
        <w:rPr>
          <w:rFonts w:ascii="Times New Roman" w:hAnsi="Times New Roman"/>
          <w:b w:val="1"/>
          <w:i w:val="1"/>
          <w:sz w:val="24"/>
        </w:rPr>
      </w:pPr>
    </w:p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01"/>
        <w:gridCol w:w="8838"/>
      </w:tblGrid>
      <w:tr>
        <w:trPr>
          <w:trHeight w:hRule="atLeast" w:val="142"/>
        </w:trPr>
        <w:tc>
          <w:tcPr>
            <w:tcW w:type="dxa" w:w="96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Учителей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, осуществляющих учебный процесс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 положительную динамику индивидуальных образовательных результатов 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tabs>
                <w:tab w:leader="none" w:pos="207" w:val="left"/>
                <w:tab w:leader="none" w:pos="993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 высокие результаты итоговой аттестации школьников (</w:t>
            </w:r>
            <w:r>
              <w:rPr>
                <w:rFonts w:ascii="Times New Roman" w:hAnsi="Times New Roman"/>
                <w:color w:val="000000"/>
                <w:sz w:val="24"/>
              </w:rPr>
              <w:t>ГИА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tabs>
                <w:tab w:leader="none" w:pos="207" w:val="left"/>
                <w:tab w:leader="none" w:pos="993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 подготовку участников, призеров и победителей олимпиад, конкурсов, конференций, соревнований различного уровня (очная форма)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tabs>
                <w:tab w:leader="none" w:pos="207" w:val="left"/>
                <w:tab w:leader="none" w:pos="993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 подготовку участников, призеров и победителей олимпиад, конкурсов, конференций, различного уровня (дистанционная форма)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tabs>
                <w:tab w:leader="none" w:pos="207" w:val="left"/>
                <w:tab w:leader="none" w:pos="993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 высокие результаты инновационной деятельности, экспериментальной работы  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tabs>
                <w:tab w:leader="none" w:pos="207" w:val="left"/>
                <w:tab w:leader="none" w:pos="993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 внедрение и качественное выполнение авторских программ  углубленного и программ расширенного изучения предметов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tabs>
                <w:tab w:leader="none" w:pos="207" w:val="left"/>
                <w:tab w:leader="none" w:pos="993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 проведение открытых уроков высокого качества или внеклассных мероприятий по предметам </w:t>
            </w:r>
          </w:p>
        </w:tc>
      </w:tr>
      <w:tr>
        <w:trPr>
          <w:trHeight w:hRule="atLeast" w:val="504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tabs>
                <w:tab w:leader="none" w:pos="207" w:val="left"/>
                <w:tab w:leader="none" w:pos="993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 систематическое использование в образовательном процессе </w:t>
            </w:r>
            <w:r>
              <w:rPr>
                <w:rFonts w:ascii="Times New Roman" w:hAnsi="Times New Roman"/>
                <w:color w:val="000000"/>
                <w:sz w:val="24"/>
              </w:rPr>
              <w:t>здоровьесберегающих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технологий (физкультминутки, подвижные игры на переменах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tabs>
                <w:tab w:leader="none" w:pos="207" w:val="left"/>
                <w:tab w:leader="none" w:pos="993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обобщение педагогического опыта (публикации в журналах, выступления на МС, ПС, ШМО, РМО, конференциях, публикация методических рекомендаций) 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tabs>
                <w:tab w:leader="none" w:pos="207" w:val="left"/>
                <w:tab w:leader="none" w:pos="993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участие педагога в профессиональных конкурсах разного уровня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tabs>
                <w:tab w:leader="none" w:pos="207" w:val="left"/>
                <w:tab w:leader="none" w:pos="993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образцовое содержание кабинета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tabs>
                <w:tab w:leader="none" w:pos="207" w:val="left"/>
                <w:tab w:leader="none" w:pos="993" w:val="left"/>
              </w:tabs>
              <w:spacing w:after="0" w:line="240" w:lineRule="auto"/>
              <w:ind w:firstLine="0" w:left="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Активизация участия школьников в  Интернет - </w:t>
            </w:r>
            <w:r>
              <w:rPr>
                <w:rFonts w:ascii="Times New Roman" w:hAnsi="Times New Roman"/>
                <w:sz w:val="24"/>
              </w:rPr>
              <w:t>олимпиадах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 конкурсах, интеллектуальных играх и т.д.</w:t>
            </w:r>
          </w:p>
        </w:tc>
      </w:tr>
      <w:tr>
        <w:trPr>
          <w:trHeight w:hRule="atLeast" w:val="326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tabs>
                <w:tab w:leader="none" w:pos="0" w:val="left"/>
                <w:tab w:leader="none" w:pos="43" w:val="left"/>
                <w:tab w:leader="none" w:pos="993" w:val="left"/>
              </w:tabs>
              <w:spacing w:after="0" w:line="240" w:lineRule="auto"/>
              <w:ind w:firstLine="0" w:left="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школ</w:t>
            </w:r>
            <w:r>
              <w:rPr>
                <w:rFonts w:ascii="Times New Roman" w:hAnsi="Times New Roman"/>
                <w:sz w:val="24"/>
              </w:rPr>
              <w:t>ьников в проектной деятельности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tabs>
                <w:tab w:leader="none" w:pos="207" w:val="left"/>
                <w:tab w:leader="none" w:pos="993" w:val="left"/>
              </w:tabs>
              <w:spacing w:after="0" w:line="240" w:lineRule="auto"/>
              <w:ind w:firstLine="0" w:left="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и ведение блогов по во</w:t>
            </w:r>
            <w:r>
              <w:rPr>
                <w:rFonts w:ascii="Times New Roman" w:hAnsi="Times New Roman"/>
                <w:sz w:val="24"/>
              </w:rPr>
              <w:t>просам воспитания и образования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tabs>
                <w:tab w:leader="none" w:pos="207" w:val="left"/>
                <w:tab w:leader="none" w:pos="993" w:val="left"/>
              </w:tabs>
              <w:spacing w:after="0" w:line="240" w:lineRule="auto"/>
              <w:ind w:firstLine="0" w:left="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Активное участие в разработке и реализ</w:t>
            </w:r>
            <w:r>
              <w:rPr>
                <w:rFonts w:ascii="Times New Roman" w:hAnsi="Times New Roman"/>
                <w:sz w:val="24"/>
              </w:rPr>
              <w:t xml:space="preserve">ации ООП </w:t>
            </w:r>
            <w:r>
              <w:rPr>
                <w:rFonts w:ascii="Times New Roman" w:hAnsi="Times New Roman"/>
                <w:sz w:val="24"/>
              </w:rPr>
              <w:t xml:space="preserve">в рамках ФГОС </w:t>
            </w:r>
            <w:r>
              <w:rPr>
                <w:rFonts w:ascii="Times New Roman" w:hAnsi="Times New Roman"/>
                <w:sz w:val="24"/>
              </w:rPr>
              <w:t>ОО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tabs>
                <w:tab w:leader="none" w:pos="207" w:val="left"/>
                <w:tab w:leader="none" w:pos="993" w:val="left"/>
              </w:tabs>
              <w:spacing w:after="0" w:line="240" w:lineRule="auto"/>
              <w:ind w:firstLine="0" w:left="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Систематическое использование в образовательном процессе ци</w:t>
            </w:r>
            <w:r>
              <w:rPr>
                <w:rFonts w:ascii="Times New Roman" w:hAnsi="Times New Roman"/>
                <w:sz w:val="24"/>
              </w:rPr>
              <w:t>фровых образовательных ресурсов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tabs>
                <w:tab w:leader="none" w:pos="207" w:val="left"/>
                <w:tab w:leader="none" w:pos="993" w:val="left"/>
              </w:tabs>
              <w:spacing w:after="0" w:line="240" w:lineRule="auto"/>
              <w:ind w:firstLine="0" w:left="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и реализация авторских программ по сохранению здоровья школьников.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tabs>
                <w:tab w:leader="none" w:pos="207" w:val="left"/>
                <w:tab w:leader="none" w:pos="993" w:val="left"/>
              </w:tabs>
              <w:spacing w:after="0" w:line="240" w:lineRule="auto"/>
              <w:ind w:firstLine="0" w:left="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выполнение особо важных разовых поручений, не связанн</w:t>
            </w:r>
            <w:r>
              <w:rPr>
                <w:rFonts w:ascii="Times New Roman" w:hAnsi="Times New Roman"/>
                <w:sz w:val="24"/>
              </w:rPr>
              <w:t>ых с должностными обязанностями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За положительную динамику индивидуальных образовательных результатов (по результатам контрольных мероприятий, промежуточной и итоговой аттестации)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>
        <w:trPr>
          <w:trHeight w:hRule="atLeast" w:val="142"/>
        </w:trPr>
        <w:tc>
          <w:tcPr>
            <w:tcW w:type="dxa" w:w="96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Заместителя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директора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tabs>
                <w:tab w:leader="none" w:pos="540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высокий уровень </w:t>
            </w:r>
            <w:r>
              <w:rPr>
                <w:rFonts w:ascii="Times New Roman" w:hAnsi="Times New Roman"/>
                <w:sz w:val="24"/>
              </w:rPr>
              <w:t>организации и проведения итогово</w:t>
            </w:r>
            <w:r>
              <w:rPr>
                <w:rFonts w:ascii="Times New Roman" w:hAnsi="Times New Roman"/>
                <w:sz w:val="24"/>
              </w:rPr>
              <w:t xml:space="preserve">й и промежуточной аттестации учащихся  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tabs>
                <w:tab w:leader="none" w:pos="540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высокий уровень организации и контроля (мониторинга) учебно-воспитательного процесса 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tabs>
                <w:tab w:leader="none" w:pos="540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качественную организацию работы общественных органов, участвующих в управлении школой (методический совет, педагогический совет, органы ученического самоуправления и т.д.) 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tabs>
                <w:tab w:leader="none" w:pos="540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За  сохранение контингента учащихся в 10-11 классах</w:t>
            </w:r>
            <w:r>
              <w:rPr>
                <w:rFonts w:ascii="Times New Roman" w:hAnsi="Times New Roman"/>
                <w:b w:val="1"/>
                <w:sz w:val="24"/>
              </w:rPr>
              <w:t xml:space="preserve">  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tabs>
                <w:tab w:leader="none" w:pos="540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высокий уровень организации </w:t>
            </w:r>
            <w:r>
              <w:rPr>
                <w:rFonts w:ascii="Times New Roman" w:hAnsi="Times New Roman"/>
                <w:sz w:val="24"/>
              </w:rPr>
              <w:t>внутришкольного</w:t>
            </w:r>
            <w:r>
              <w:rPr>
                <w:rFonts w:ascii="Times New Roman" w:hAnsi="Times New Roman"/>
                <w:sz w:val="24"/>
              </w:rPr>
              <w:t xml:space="preserve"> повышения квалификации педагогических работников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tabs>
                <w:tab w:leader="none" w:pos="540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За поддержание благоприятного психологического климата в коллективе 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tabs>
                <w:tab w:leader="none" w:pos="107" w:val="left"/>
              </w:tabs>
              <w:spacing w:afterAutospacing="on" w:beforeAutospacing="on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За высокий уровень организации и проведения школьных, районных, краевых мероприятий для учащихся и учителей 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tabs>
                <w:tab w:leader="none" w:pos="540" w:val="left"/>
              </w:tabs>
              <w:spacing w:afterAutospacing="on" w:beforeAutospacing="on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 обеспечение участия обучающихся в мероприятиях школьного, </w:t>
            </w:r>
            <w:r>
              <w:rPr>
                <w:rFonts w:ascii="Times New Roman" w:hAnsi="Times New Roman"/>
                <w:sz w:val="24"/>
              </w:rPr>
              <w:t>муниципального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 регионального </w:t>
            </w:r>
            <w:r>
              <w:rPr>
                <w:rFonts w:ascii="Times New Roman" w:hAnsi="Times New Roman"/>
                <w:sz w:val="24"/>
              </w:rPr>
              <w:t xml:space="preserve">и     федерального  уровней  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tabs>
                <w:tab w:leader="none" w:pos="5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обобщение опыта административной работы на муниципальном, региональном и федеральном уровнях  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tabs>
                <w:tab w:leader="none" w:pos="540" w:val="left"/>
              </w:tabs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качественную организацию и проведение на высоком уровне семинаров, конференций, фестивалей и других мероприятий районного, городского и федерального уровня 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tabs>
                <w:tab w:leader="none" w:pos="540" w:val="left"/>
              </w:tabs>
              <w:spacing w:afterAutospacing="on" w:beforeAutospacing="on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высокий уровень организации работы по военно-патриотическому воспитанию школьников 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tabs>
                <w:tab w:leader="none" w:pos="540" w:val="left"/>
              </w:tabs>
              <w:spacing w:afterAutospacing="on" w:beforeAutospacing="on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высокий уровень организации спортивно-массовой работы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tabs>
                <w:tab w:leader="none" w:pos="540" w:val="left"/>
              </w:tabs>
              <w:spacing w:afterAutospacing="on" w:beforeAutospacing="on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эффективность  реализации </w:t>
            </w:r>
            <w:r>
              <w:rPr>
                <w:rFonts w:ascii="Times New Roman" w:hAnsi="Times New Roman"/>
                <w:sz w:val="24"/>
              </w:rPr>
              <w:t xml:space="preserve"> образовательных </w:t>
            </w:r>
            <w:r>
              <w:rPr>
                <w:rFonts w:ascii="Times New Roman" w:hAnsi="Times New Roman"/>
                <w:sz w:val="24"/>
              </w:rPr>
              <w:t xml:space="preserve">программ 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tabs>
                <w:tab w:leader="none" w:pos="540" w:val="left"/>
              </w:tabs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высокий уровень организации общественно полезного труда 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tabs>
                <w:tab w:leader="none" w:pos="540" w:val="left"/>
              </w:tabs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высокий уровень работы по повышению имиджа школы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tabs>
                <w:tab w:leader="none" w:pos="540" w:val="left"/>
              </w:tabs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качественную работу по организации горячего питания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tabs>
                <w:tab w:leader="none" w:pos="540" w:val="left"/>
              </w:tabs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отсутствие замечаний, предписаний по итогам инспекторских проверок деятельности школы (на основании справок, приказов)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tabs>
                <w:tab w:leader="none" w:pos="540" w:val="left"/>
              </w:tabs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высокий уровень работы по организации каникулярного отдыха школьников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tabs>
                <w:tab w:leader="none" w:pos="540" w:val="left"/>
              </w:tabs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выполнение особо важных разовых поручений, не связанных с должностными обязанностями.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tabs>
                <w:tab w:leader="none" w:pos="207" w:val="left"/>
                <w:tab w:leader="none" w:pos="993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участие администрации в профессиональных конкурсах разного уровня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tabs>
                <w:tab w:leader="none" w:pos="207" w:val="left"/>
                <w:tab w:leader="none" w:pos="993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публикацию материалов о деятельности школы в СМИ (статьи, заметки, интервью и др.)</w:t>
            </w:r>
          </w:p>
        </w:tc>
      </w:tr>
      <w:tr>
        <w:trPr>
          <w:trHeight w:hRule="atLeast" w:val="142"/>
        </w:trPr>
        <w:tc>
          <w:tcPr>
            <w:tcW w:type="dxa" w:w="96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tabs>
                <w:tab w:leader="none" w:pos="207" w:val="left"/>
                <w:tab w:leader="none" w:pos="993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                                        К</w:t>
            </w:r>
            <w:r>
              <w:rPr>
                <w:rFonts w:ascii="Times New Roman" w:hAnsi="Times New Roman"/>
                <w:b w:val="1"/>
                <w:sz w:val="24"/>
              </w:rPr>
              <w:t>лассного руководителя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tabs>
                <w:tab w:leader="none" w:pos="207" w:val="left"/>
                <w:tab w:leader="none" w:pos="993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высокий уровень организации и проведение внеклассных мероприятий 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tabs>
                <w:tab w:leader="none" w:pos="207" w:val="left"/>
                <w:tab w:leader="none" w:pos="993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высокий уровень работы по привлечению школьников к участию в социальных проектах, общественных мероприятиях 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высокий уровень организации</w:t>
            </w:r>
            <w:r>
              <w:rPr>
                <w:rFonts w:ascii="Times New Roman" w:hAnsi="Times New Roman"/>
                <w:sz w:val="24"/>
              </w:rPr>
              <w:t xml:space="preserve"> наставничества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качественную организацию работы органов ученического самоуправления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эффективность работы по организации общественно полезного труда учащихся 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подготовку и публикацию материалов, отражающих деятельность школы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tabs>
                <w:tab w:leader="none" w:pos="207" w:val="left"/>
                <w:tab w:leader="none" w:pos="993" w:val="left"/>
              </w:tabs>
              <w:spacing w:after="0" w:line="240" w:lineRule="auto"/>
              <w:ind w:firstLine="0" w:left="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высокий уровень организации горячего питания школьников  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tabs>
                <w:tab w:leader="none" w:pos="207" w:val="left"/>
                <w:tab w:leader="none" w:pos="993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динамику снижения количества учащихся и семей, стоящих 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разного</w:t>
            </w:r>
            <w:r>
              <w:rPr>
                <w:rFonts w:ascii="Times New Roman" w:hAnsi="Times New Roman"/>
                <w:sz w:val="24"/>
              </w:rPr>
              <w:t xml:space="preserve"> вида профилактических учетах  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tabs>
                <w:tab w:leader="none" w:pos="207" w:val="left"/>
                <w:tab w:leader="none" w:pos="993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отсутствие пропусков учащимися уроков без уважительной причины 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tabs>
                <w:tab w:leader="none" w:pos="33" w:val="left"/>
                <w:tab w:leader="none" w:pos="993" w:val="left"/>
              </w:tabs>
              <w:spacing w:after="0" w:line="240" w:lineRule="auto"/>
              <w:ind w:hanging="141" w:left="1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результативность работы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профилактике  безнадзор</w:t>
            </w:r>
            <w:r>
              <w:rPr>
                <w:rFonts w:ascii="Times New Roman" w:hAnsi="Times New Roman"/>
                <w:sz w:val="24"/>
              </w:rPr>
              <w:t>ности и правонарушений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tabs>
                <w:tab w:leader="none" w:pos="207" w:val="left"/>
                <w:tab w:leader="none" w:pos="993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высокий уровень работы с родительской общественностью 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tabs>
                <w:tab w:leader="none" w:pos="207" w:val="left"/>
                <w:tab w:leader="none" w:pos="993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</w:t>
            </w:r>
            <w:r>
              <w:rPr>
                <w:rFonts w:ascii="Times New Roman" w:hAnsi="Times New Roman"/>
                <w:b w:val="1"/>
                <w:sz w:val="24"/>
              </w:rPr>
              <w:t>Других категорий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педагогических работников 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результативность коррекционно-развивающей работы с учащимися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spacing w:after="0" w:line="240" w:lineRule="auto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высокий уровень исполнительской дисциплины  (своевременная сдача  отчётов,  оформление документации и т.д.)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spacing w:after="0" w:line="240" w:lineRule="auto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проявление творческой инициативы, самостоятельности, ответственного отношения к профессиональному долгу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spacing w:after="0" w:line="240" w:lineRule="auto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своевременное и качественное ведение банка данных детей, охваченных различными видами контроля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spacing w:after="0" w:line="240" w:lineRule="auto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участие в организации и проведении общешкольных и районных мероприятий высокого уровня 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spacing w:after="0" w:line="240" w:lineRule="auto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привлечение школьников, состоящих на разных видах учёта, к участию в общешкольных и районных мероприятиях 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spacing w:after="0" w:line="240" w:lineRule="auto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активное содействие классным руководителям в получении учащимися, состоящими на разных видах учёта и находящихся в «группе риска»</w:t>
            </w:r>
            <w:r>
              <w:rPr>
                <w:rFonts w:ascii="Times New Roman" w:hAnsi="Times New Roman"/>
                <w:sz w:val="24"/>
              </w:rPr>
              <w:t xml:space="preserve"> дополнительного образования через систему кружков, клубов, секций, объединений, организуемых в школе, по месту жительства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spacing w:after="0" w:line="240" w:lineRule="auto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высокий уровень подготовки, организации и проведения мероприятий по профилактике детского травматизма 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spacing w:after="0" w:line="240" w:lineRule="auto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 активизацию деятельности органов ученического самоуправления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spacing w:after="0" w:line="240" w:lineRule="auto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организацию постоянного взаимодействия с организациями, ориентированными на воспитательный процесс (библиотеки, детские  и молодёжные организации)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spacing w:after="0" w:line="240" w:lineRule="auto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высокую результативность по итогам участия школьников  в </w:t>
            </w:r>
            <w:r>
              <w:rPr>
                <w:rFonts w:ascii="Times New Roman" w:hAnsi="Times New Roman"/>
                <w:sz w:val="24"/>
              </w:rPr>
              <w:t xml:space="preserve">муниципальных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z w:val="24"/>
              </w:rPr>
              <w:t xml:space="preserve">региональных </w:t>
            </w:r>
            <w:r>
              <w:rPr>
                <w:rFonts w:ascii="Times New Roman" w:hAnsi="Times New Roman"/>
                <w:sz w:val="24"/>
              </w:rPr>
              <w:t xml:space="preserve">смотрах, конкурсах, фестивалях и т.д. 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spacing w:after="0" w:line="240" w:lineRule="auto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 значимый вклад в деятельность воспитательной работы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spacing w:after="0" w:line="240" w:lineRule="auto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 эффективную организацию работы органов детского самоуправления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spacing w:after="0" w:line="240" w:lineRule="auto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 качественную работу с опекаемыми детьми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spacing w:after="0" w:line="240" w:lineRule="auto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 эффективную работу с допризывной молодёжью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spacing w:after="0" w:line="240" w:lineRule="auto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 высокие результаты инновационной работы и экспериментальной деятельности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spacing w:after="0" w:line="240" w:lineRule="auto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 снижение количества учащихся, состоящих на профилактических учётах разного уровня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spacing w:after="0" w:line="240" w:lineRule="auto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 активное участие в общественных акциях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spacing w:after="0" w:line="240" w:lineRule="auto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 эффективную работу по формированию психологической готовности обучающихся и педагогов к внешней оценке качества образования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spacing w:after="0" w:line="240" w:lineRule="auto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Высокий уровень организации мероприятий, проводимых </w:t>
            </w:r>
            <w:r>
              <w:rPr>
                <w:rFonts w:ascii="Times New Roman" w:hAnsi="Times New Roman"/>
                <w:spacing w:val="-2"/>
                <w:sz w:val="24"/>
              </w:rPr>
              <w:t>для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обучающихся в каникулярное время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spacing w:after="0" w:line="240" w:lineRule="auto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 своевременность и достоверность информационно-аналитических материалов, обеспечивающих потребности школы в организации образовательного процесса (материалы к консилиумам, педагогическим советам, родительским собраниям, консультациям).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spacing w:after="0" w:line="240" w:lineRule="auto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Участие в профессиональных конкурсах, в работе творческих групп.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spacing w:after="0" w:line="240" w:lineRule="auto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 эффективную работу с допризывной молодёжью</w:t>
            </w:r>
          </w:p>
        </w:tc>
      </w:tr>
      <w:tr>
        <w:trPr>
          <w:trHeight w:hRule="atLeast" w:val="142"/>
        </w:trP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spacing w:after="0" w:line="240" w:lineRule="auto"/>
              <w:ind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выполнение особо важных разовых поручений, не связанных с должностными обязанностями</w:t>
            </w:r>
          </w:p>
        </w:tc>
      </w:tr>
    </w:tbl>
    <w:p w14:paraId="CB000000">
      <w:pPr>
        <w:tabs>
          <w:tab w:leader="none" w:pos="180" w:val="left"/>
          <w:tab w:leader="none" w:pos="540" w:val="left"/>
        </w:tabs>
        <w:spacing w:after="0" w:line="240" w:lineRule="auto"/>
        <w:ind w:firstLine="0" w:left="180"/>
        <w:jc w:val="center"/>
        <w:rPr>
          <w:rFonts w:ascii="Times New Roman" w:hAnsi="Times New Roman"/>
          <w:b w:val="1"/>
          <w:sz w:val="24"/>
        </w:rPr>
      </w:pPr>
    </w:p>
    <w:p w14:paraId="CC000000">
      <w:pPr>
        <w:spacing w:afterAutospacing="on" w:line="240" w:lineRule="auto"/>
        <w:ind w:firstLine="0" w:left="7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 Порядок представления к поощрению.</w:t>
      </w:r>
    </w:p>
    <w:p w14:paraId="CD000000">
      <w:pPr>
        <w:spacing w:after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.1. Поощрения осуществляются на основании ходатайств </w:t>
      </w:r>
      <w:r>
        <w:rPr>
          <w:rFonts w:ascii="Times New Roman" w:hAnsi="Times New Roman"/>
          <w:sz w:val="28"/>
        </w:rPr>
        <w:t>руководителей ШМО, творческих групп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заместител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директора, </w:t>
      </w:r>
      <w:r>
        <w:rPr>
          <w:rFonts w:ascii="Times New Roman" w:hAnsi="Times New Roman"/>
          <w:sz w:val="28"/>
        </w:rPr>
        <w:t xml:space="preserve">представителей органов самоуправления организации, </w:t>
      </w:r>
      <w:r>
        <w:rPr>
          <w:rFonts w:ascii="Times New Roman" w:hAnsi="Times New Roman"/>
          <w:sz w:val="28"/>
        </w:rPr>
        <w:t>дирек</w:t>
      </w:r>
      <w:r>
        <w:rPr>
          <w:rFonts w:ascii="Times New Roman" w:hAnsi="Times New Roman"/>
          <w:sz w:val="28"/>
        </w:rPr>
        <w:t>тора.</w:t>
      </w:r>
    </w:p>
    <w:p w14:paraId="CE00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</w:t>
      </w:r>
      <w:r>
        <w:rPr>
          <w:rFonts w:ascii="Times New Roman" w:hAnsi="Times New Roman"/>
          <w:sz w:val="28"/>
        </w:rPr>
        <w:t>Представление к награждению Почетными грамотами разного уровня, а также представление к награждению отраслевым</w:t>
      </w:r>
      <w:r>
        <w:rPr>
          <w:rFonts w:ascii="Times New Roman" w:hAnsi="Times New Roman"/>
          <w:sz w:val="28"/>
        </w:rPr>
        <w:t xml:space="preserve">и наградами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иными наградами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производится в следующем порядке:</w:t>
      </w:r>
    </w:p>
    <w:p w14:paraId="CF00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выдвижение кандидатуры профессиональным сообществом методического объединения или методическим советом;</w:t>
      </w:r>
    </w:p>
    <w:p w14:paraId="D000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обсуждение кандидатуры и принятие решения осуществляется на Педагогическом совете или Общем собрании трудового коллектива.</w:t>
      </w:r>
    </w:p>
    <w:p w14:paraId="D100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.3</w:t>
      </w:r>
      <w:r>
        <w:rPr>
          <w:rFonts w:ascii="Times New Roman" w:hAnsi="Times New Roman"/>
          <w:sz w:val="28"/>
        </w:rPr>
        <w:t>. Своевременное оформление документов для награждения осуществляет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</w:p>
    <w:p w14:paraId="D200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 xml:space="preserve">педагогов  и классных руководителей  </w:t>
      </w:r>
      <w:r>
        <w:rPr>
          <w:rFonts w:ascii="Times New Roman" w:hAnsi="Times New Roman"/>
          <w:sz w:val="28"/>
        </w:rPr>
        <w:t xml:space="preserve">руководители </w:t>
      </w:r>
      <w:r>
        <w:rPr>
          <w:rFonts w:ascii="Times New Roman" w:hAnsi="Times New Roman"/>
          <w:sz w:val="28"/>
        </w:rPr>
        <w:t xml:space="preserve">ШМО </w:t>
      </w:r>
      <w:r>
        <w:rPr>
          <w:rFonts w:ascii="Times New Roman" w:hAnsi="Times New Roman"/>
          <w:sz w:val="28"/>
        </w:rPr>
        <w:t>представляют:</w:t>
      </w:r>
    </w:p>
    <w:p w14:paraId="D300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характеристику с указанием конкретных заслуг кандидата;</w:t>
      </w:r>
    </w:p>
    <w:p w14:paraId="D400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руководителя </w:t>
      </w:r>
      <w:r>
        <w:rPr>
          <w:rFonts w:ascii="Times New Roman" w:hAnsi="Times New Roman"/>
          <w:sz w:val="28"/>
        </w:rPr>
        <w:t xml:space="preserve">ШМО </w:t>
      </w:r>
      <w:r>
        <w:rPr>
          <w:rFonts w:ascii="Times New Roman" w:hAnsi="Times New Roman"/>
          <w:sz w:val="28"/>
        </w:rPr>
        <w:t xml:space="preserve">предоставляется характеристика </w:t>
      </w:r>
      <w:r>
        <w:rPr>
          <w:rFonts w:ascii="Times New Roman" w:hAnsi="Times New Roman"/>
          <w:sz w:val="28"/>
        </w:rPr>
        <w:t xml:space="preserve"> предоставляется</w:t>
      </w:r>
      <w:r>
        <w:rPr>
          <w:rFonts w:ascii="Times New Roman" w:hAnsi="Times New Roman"/>
          <w:sz w:val="28"/>
        </w:rPr>
        <w:t xml:space="preserve"> заместителем директора</w:t>
      </w:r>
    </w:p>
    <w:p w14:paraId="D500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Согласование кандидатов оформляется протоколом Совета трудового коллектива.</w:t>
      </w:r>
    </w:p>
    <w:p w14:paraId="D600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При выдвижении кандидата учитываются следующие показатели:</w:t>
      </w:r>
    </w:p>
    <w:p w14:paraId="D700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вклад работника для достижения поставленных целей и задач перед Учреждением;</w:t>
      </w:r>
    </w:p>
    <w:p w14:paraId="D800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качество и эффективность выполняемой работы;</w:t>
      </w:r>
    </w:p>
    <w:p w14:paraId="D900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участие в общественной работе коллектива </w:t>
      </w:r>
      <w:r>
        <w:rPr>
          <w:rFonts w:ascii="Times New Roman" w:hAnsi="Times New Roman"/>
          <w:sz w:val="28"/>
        </w:rPr>
        <w:t xml:space="preserve"> Организации</w:t>
      </w:r>
      <w:r>
        <w:rPr>
          <w:rFonts w:ascii="Times New Roman" w:hAnsi="Times New Roman"/>
          <w:sz w:val="28"/>
        </w:rPr>
        <w:t>;</w:t>
      </w:r>
    </w:p>
    <w:p w14:paraId="DA00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наличие благодарностей от</w:t>
      </w:r>
      <w:r>
        <w:rPr>
          <w:rFonts w:ascii="Times New Roman" w:hAnsi="Times New Roman"/>
          <w:sz w:val="28"/>
        </w:rPr>
        <w:t xml:space="preserve"> участников образовательных отношений</w:t>
      </w:r>
      <w:r>
        <w:rPr>
          <w:rFonts w:ascii="Times New Roman" w:hAnsi="Times New Roman"/>
          <w:sz w:val="28"/>
        </w:rPr>
        <w:t>;</w:t>
      </w:r>
    </w:p>
    <w:p w14:paraId="DB00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продолжительный безупречный труд в </w:t>
      </w:r>
      <w:r>
        <w:rPr>
          <w:rFonts w:ascii="Times New Roman" w:hAnsi="Times New Roman"/>
          <w:sz w:val="28"/>
        </w:rPr>
        <w:t xml:space="preserve">Организации </w:t>
      </w:r>
      <w:r>
        <w:rPr>
          <w:rFonts w:ascii="Times New Roman" w:hAnsi="Times New Roman"/>
          <w:sz w:val="28"/>
        </w:rPr>
        <w:t>(не менее 3 лет).</w:t>
      </w:r>
    </w:p>
    <w:p w14:paraId="DC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Меры поощрения не применяются к сотрудникам, совершившим в оцениваемый период хотя бы один дисциплинарный проступок, и имеющим в связи с этим дисциплинарное взыскание, поскольку непременным основанием применения мер поощрения является добросовестное исполнение сотрудником своих трудовых обязанностей.</w:t>
      </w:r>
    </w:p>
    <w:p w14:paraId="DD000000"/>
    <w:p w14:paraId="DE000000"/>
    <w:p w14:paraId="DF000000"/>
    <w:p w14:paraId="E0000000"/>
    <w:p w14:paraId="E1000000"/>
    <w:p w14:paraId="E2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70"/>
      </w:pPr>
    </w:lvl>
    <w:lvl w:ilvl="1">
      <w:start w:val="1"/>
      <w:numFmt w:val="decimal"/>
      <w:lvlText w:val="%2."/>
      <w:lvlJc w:val="left"/>
      <w:pPr>
        <w:tabs>
          <w:tab w:leader="none" w:pos="1790" w:val="left"/>
        </w:tabs>
        <w:ind w:hanging="360" w:left="1790"/>
      </w:pPr>
    </w:lvl>
    <w:lvl w:ilvl="2">
      <w:start w:val="1"/>
      <w:numFmt w:val="decimal"/>
      <w:lvlText w:val="%3."/>
      <w:lvlJc w:val="left"/>
      <w:pPr>
        <w:tabs>
          <w:tab w:leader="none" w:pos="2510" w:val="left"/>
        </w:tabs>
        <w:ind w:hanging="360" w:left="2510"/>
      </w:pPr>
    </w:lvl>
    <w:lvl w:ilvl="3">
      <w:start w:val="1"/>
      <w:numFmt w:val="decimal"/>
      <w:lvlText w:val="%4."/>
      <w:lvlJc w:val="left"/>
      <w:pPr>
        <w:tabs>
          <w:tab w:leader="none" w:pos="3230" w:val="left"/>
        </w:tabs>
        <w:ind w:hanging="360" w:left="3230"/>
      </w:pPr>
    </w:lvl>
    <w:lvl w:ilvl="4">
      <w:start w:val="1"/>
      <w:numFmt w:val="decimal"/>
      <w:lvlText w:val="%5."/>
      <w:lvlJc w:val="left"/>
      <w:pPr>
        <w:tabs>
          <w:tab w:leader="none" w:pos="3950" w:val="left"/>
        </w:tabs>
        <w:ind w:hanging="360" w:left="3950"/>
      </w:pPr>
    </w:lvl>
    <w:lvl w:ilvl="5">
      <w:start w:val="1"/>
      <w:numFmt w:val="decimal"/>
      <w:lvlText w:val="%6."/>
      <w:lvlJc w:val="left"/>
      <w:pPr>
        <w:tabs>
          <w:tab w:leader="none" w:pos="4670" w:val="left"/>
        </w:tabs>
        <w:ind w:hanging="360" w:left="4670"/>
      </w:pPr>
    </w:lvl>
    <w:lvl w:ilvl="6">
      <w:start w:val="1"/>
      <w:numFmt w:val="decimal"/>
      <w:lvlText w:val="%7."/>
      <w:lvlJc w:val="left"/>
      <w:pPr>
        <w:tabs>
          <w:tab w:leader="none" w:pos="5390" w:val="left"/>
        </w:tabs>
        <w:ind w:hanging="360" w:left="5390"/>
      </w:pPr>
    </w:lvl>
    <w:lvl w:ilvl="7">
      <w:start w:val="1"/>
      <w:numFmt w:val="decimal"/>
      <w:lvlText w:val="%8."/>
      <w:lvlJc w:val="left"/>
      <w:pPr>
        <w:tabs>
          <w:tab w:leader="none" w:pos="6110" w:val="left"/>
        </w:tabs>
        <w:ind w:hanging="360" w:left="6110"/>
      </w:pPr>
    </w:lvl>
    <w:lvl w:ilvl="8">
      <w:start w:val="1"/>
      <w:numFmt w:val="decimal"/>
      <w:lvlText w:val="%9."/>
      <w:lvlJc w:val="left"/>
      <w:pPr>
        <w:tabs>
          <w:tab w:leader="none" w:pos="6830" w:val="left"/>
        </w:tabs>
        <w:ind w:hanging="360" w:left="683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List Paragraph"/>
    <w:basedOn w:val="Style_2"/>
    <w:link w:val="Style_8_ch"/>
    <w:pPr>
      <w:ind w:firstLine="0" w:left="720"/>
      <w:contextualSpacing w:val="1"/>
    </w:pPr>
  </w:style>
  <w:style w:styleId="Style_8_ch" w:type="character">
    <w:name w:val="List Paragraph"/>
    <w:basedOn w:val="Style_2_ch"/>
    <w:link w:val="Style_8"/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2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2_ch"/>
    <w:link w:val="Style_10"/>
    <w:rPr>
      <w:rFonts w:ascii="Tahoma" w:hAnsi="Tahoma"/>
      <w:sz w:val="16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2022-11-28T11:12:51Z</dcterms:modified>
</cp:coreProperties>
</file>